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8F" w:rsidRDefault="00CE4F0D" w:rsidP="001B7AB5">
      <w:pPr>
        <w:spacing w:after="0" w:line="240" w:lineRule="auto"/>
        <w:jc w:val="center"/>
      </w:pPr>
      <w:r>
        <w:t xml:space="preserve">Lista </w:t>
      </w:r>
      <w:r w:rsidR="00B5534B">
        <w:t>zagadnień</w:t>
      </w:r>
      <w:r>
        <w:t xml:space="preserve"> na egzamin dyplomowy</w:t>
      </w:r>
    </w:p>
    <w:p w:rsidR="001B7AB5" w:rsidRDefault="001B7AB5" w:rsidP="001B7AB5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35"/>
      </w:tblGrid>
      <w:tr w:rsidR="001B7AB5" w:rsidTr="001B7AB5">
        <w:tc>
          <w:tcPr>
            <w:tcW w:w="5211" w:type="dxa"/>
            <w:gridSpan w:val="2"/>
            <w:tcBorders>
              <w:bottom w:val="nil"/>
              <w:right w:val="nil"/>
            </w:tcBorders>
          </w:tcPr>
          <w:p w:rsidR="001B7AB5" w:rsidRDefault="001B7AB5" w:rsidP="00247A37">
            <w:pPr>
              <w:spacing w:after="0"/>
            </w:pPr>
            <w:r>
              <w:t xml:space="preserve">Kierunek studiów:   </w:t>
            </w:r>
            <w:r>
              <w:rPr>
                <w:b/>
              </w:rPr>
              <w:t>Elektro</w:t>
            </w:r>
            <w:r w:rsidR="00247A37" w:rsidRPr="00247A37">
              <w:rPr>
                <w:b/>
              </w:rPr>
              <w:t>mobilność</w:t>
            </w:r>
            <w:r>
              <w:rPr>
                <w:b/>
              </w:rPr>
              <w:tab/>
            </w:r>
          </w:p>
        </w:tc>
        <w:tc>
          <w:tcPr>
            <w:tcW w:w="5135" w:type="dxa"/>
            <w:tcBorders>
              <w:left w:val="nil"/>
              <w:bottom w:val="nil"/>
            </w:tcBorders>
          </w:tcPr>
          <w:p w:rsidR="001B7AB5" w:rsidRDefault="001B7AB5" w:rsidP="00270BF8">
            <w:pPr>
              <w:spacing w:after="0"/>
            </w:pPr>
            <w:r>
              <w:t xml:space="preserve">Stopień studiów:   </w:t>
            </w:r>
            <w:r>
              <w:rPr>
                <w:b/>
              </w:rPr>
              <w:t>drugi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top w:val="nil"/>
              <w:bottom w:val="single" w:sz="4" w:space="0" w:color="auto"/>
            </w:tcBorders>
          </w:tcPr>
          <w:p w:rsidR="001B7AB5" w:rsidRDefault="001B7AB5" w:rsidP="00247A37">
            <w:pPr>
              <w:spacing w:after="0"/>
            </w:pPr>
            <w:r w:rsidRPr="0070440F">
              <w:t>Specjalność</w:t>
            </w:r>
            <w:r>
              <w:t xml:space="preserve">:   </w:t>
            </w:r>
            <w:r w:rsidR="00247A37" w:rsidRPr="00247A37">
              <w:rPr>
                <w:b/>
              </w:rPr>
              <w:t>Paliwa alternatywne i magazynowanie energii</w:t>
            </w:r>
          </w:p>
        </w:tc>
      </w:tr>
      <w:tr w:rsidR="001B7AB5" w:rsidTr="001B7AB5">
        <w:tc>
          <w:tcPr>
            <w:tcW w:w="10346" w:type="dxa"/>
            <w:gridSpan w:val="3"/>
            <w:tcBorders>
              <w:left w:val="nil"/>
              <w:right w:val="nil"/>
            </w:tcBorders>
          </w:tcPr>
          <w:p w:rsidR="001B7AB5" w:rsidRPr="001B7AB5" w:rsidRDefault="001B7AB5" w:rsidP="00270BF8">
            <w:pPr>
              <w:spacing w:after="0"/>
              <w:rPr>
                <w:sz w:val="16"/>
              </w:rPr>
            </w:pPr>
          </w:p>
        </w:tc>
      </w:tr>
      <w:tr w:rsidR="001B7AB5" w:rsidTr="005E761D">
        <w:tc>
          <w:tcPr>
            <w:tcW w:w="534" w:type="dxa"/>
          </w:tcPr>
          <w:p w:rsidR="001B7AB5" w:rsidRDefault="001B7AB5" w:rsidP="00270BF8">
            <w:pPr>
              <w:spacing w:after="0"/>
              <w:jc w:val="center"/>
            </w:pPr>
            <w:r>
              <w:t>Nr</w:t>
            </w:r>
          </w:p>
        </w:tc>
        <w:tc>
          <w:tcPr>
            <w:tcW w:w="9812" w:type="dxa"/>
            <w:gridSpan w:val="2"/>
          </w:tcPr>
          <w:p w:rsidR="001B7AB5" w:rsidRDefault="001B7AB5" w:rsidP="00270BF8">
            <w:pPr>
              <w:spacing w:after="0"/>
            </w:pPr>
            <w:r>
              <w:t>Zagadnienie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</w:pPr>
            <w:r>
              <w:t>1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991862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E15CB4">
              <w:rPr>
                <w:rFonts w:cstheme="minorHAnsi"/>
                <w:b/>
                <w:color w:val="000000"/>
              </w:rPr>
              <w:t xml:space="preserve">Analiza i zarządzanie ryzykiem </w:t>
            </w:r>
            <w:r>
              <w:rPr>
                <w:rFonts w:cstheme="minorHAnsi"/>
                <w:b/>
                <w:color w:val="000000"/>
              </w:rPr>
              <w:t xml:space="preserve">- </w:t>
            </w:r>
            <w:r w:rsidRPr="00E15CB4">
              <w:rPr>
                <w:rFonts w:cstheme="minorHAnsi"/>
                <w:b/>
                <w:color w:val="000000"/>
              </w:rPr>
              <w:t>zagrożenia, podatności, sposoby postępowania z ryzykiem, modelowanie zagrożeń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Cyberbezpieczeństwo</w:t>
            </w:r>
            <w:proofErr w:type="spellEnd"/>
            <w:r w:rsidRPr="005559CC">
              <w:rPr>
                <w:rFonts w:cstheme="minorHAnsi"/>
                <w:i/>
                <w:color w:val="000000"/>
              </w:rPr>
              <w:t xml:space="preserve"> w pojazdach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</w:pPr>
            <w:r>
              <w:t>2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F2216E">
              <w:rPr>
                <w:rFonts w:cstheme="minorHAnsi"/>
                <w:b/>
                <w:color w:val="000000"/>
              </w:rPr>
              <w:t xml:space="preserve">Jakość energii elektrycznej w systemach z infrastrukturą wykorzystywaną na potrzeby </w:t>
            </w:r>
            <w:proofErr w:type="spellStart"/>
            <w:r w:rsidRPr="00F2216E"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Diagnostyka jakości energii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8645FF">
              <w:rPr>
                <w:rFonts w:cstheme="minorHAnsi"/>
                <w:b/>
                <w:color w:val="000000"/>
              </w:rPr>
              <w:t xml:space="preserve">Podstawowe metody diagnostyki nieinwazyjnej stosowane w </w:t>
            </w:r>
            <w:proofErr w:type="spellStart"/>
            <w:r w:rsidRPr="008645FF">
              <w:rPr>
                <w:rFonts w:cstheme="minorHAnsi"/>
                <w:b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Diagnostyka nieinwazyjna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661E8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7466F6">
              <w:rPr>
                <w:rFonts w:cstheme="minorHAnsi"/>
                <w:b/>
                <w:color w:val="000000"/>
              </w:rPr>
              <w:t>Metody analizy obwodów elektrycznych zawierających elementy nieliniowe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Elektrotechnika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661E8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F2216E">
              <w:rPr>
                <w:rFonts w:cstheme="minorHAnsi"/>
                <w:b/>
                <w:color w:val="000000"/>
              </w:rPr>
              <w:t>Ekstrakcja informacji użytecznych z danych - filtracja, dekompozycja, demodulacja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Inteligentne przetwarzanie i zarządzanie danymi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036395">
              <w:rPr>
                <w:rFonts w:cstheme="minorHAnsi"/>
                <w:b/>
                <w:color w:val="000000"/>
              </w:rPr>
              <w:t>Właściwości mechaniczne i elektryczne materiałów przewodzących, izolacyjnych oraz magnetycznych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Materiały magnetyczne i elektroizolacyjne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AA2DC0">
              <w:rPr>
                <w:rFonts w:cstheme="minorHAnsi"/>
                <w:b/>
                <w:color w:val="000000"/>
              </w:rPr>
              <w:t>Rodzaje, właściwości i zastosowania materiałów specjalnych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Materiały magnetyczne i elektroizolacyjne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Akapitzlist"/>
              <w:spacing w:after="0"/>
              <w:ind w:left="737" w:hanging="73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661E8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Analiza i synteza obiektu technicznego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Metody optymalizacji w projektowaniu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Bezodstpw"/>
              <w:spacing w:line="276" w:lineRule="auto"/>
              <w:jc w:val="center"/>
            </w:pPr>
            <w:r>
              <w:t>9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</w:t>
            </w:r>
            <w:r w:rsidRPr="009F56E5">
              <w:rPr>
                <w:rFonts w:cstheme="minorHAnsi"/>
                <w:b/>
                <w:color w:val="000000"/>
              </w:rPr>
              <w:t xml:space="preserve">ównania opisujące rozkład pola elektrycznego, magnetycznego, cieplnego oraz </w:t>
            </w:r>
            <w:proofErr w:type="spellStart"/>
            <w:r w:rsidRPr="009F56E5">
              <w:rPr>
                <w:rFonts w:cstheme="minorHAnsi"/>
                <w:b/>
                <w:color w:val="000000"/>
              </w:rPr>
              <w:t>napręże</w:t>
            </w:r>
            <w:r>
              <w:rPr>
                <w:rFonts w:cstheme="minorHAnsi"/>
                <w:b/>
                <w:color w:val="000000"/>
              </w:rPr>
              <w:t>ń</w:t>
            </w:r>
            <w:proofErr w:type="spellEnd"/>
            <w:r w:rsidRPr="009F56E5">
              <w:rPr>
                <w:rFonts w:cstheme="minorHAnsi"/>
                <w:b/>
                <w:color w:val="000000"/>
              </w:rPr>
              <w:t xml:space="preserve"> mechanicznych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Modelowanie zjawisk sprzężonych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Bezodstpw"/>
              <w:spacing w:line="276" w:lineRule="auto"/>
              <w:jc w:val="center"/>
            </w:pPr>
            <w:r>
              <w:t>10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D15A4" w:rsidRDefault="003F386A" w:rsidP="003F386A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</w:t>
            </w:r>
            <w:r w:rsidRPr="009F56E5">
              <w:rPr>
                <w:rFonts w:cstheme="minorHAnsi"/>
                <w:b/>
                <w:color w:val="000000"/>
              </w:rPr>
              <w:t>programowanie do analizy zjawisk sprzężonych w urządzeniach i układach elektromagnetycznych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Modelowanie zjawisk sprzężonych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Bezodstpw"/>
              <w:spacing w:line="276" w:lineRule="auto"/>
              <w:jc w:val="center"/>
            </w:pPr>
            <w:r>
              <w:t>11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7275D4">
            <w:pPr>
              <w:spacing w:after="0"/>
              <w:rPr>
                <w:rFonts w:cstheme="minorHAnsi"/>
                <w:color w:val="000000"/>
              </w:rPr>
            </w:pPr>
            <w:r w:rsidRPr="00E22CDE">
              <w:rPr>
                <w:rFonts w:cstheme="minorHAnsi"/>
                <w:b/>
                <w:color w:val="000000"/>
              </w:rPr>
              <w:t xml:space="preserve">Zasada działania i struktura sterowania napędów pojazdów elektrycznych z silnikami indukcyjnymi IM, synchronicznymi o wzbudzeniu od magnesów trwałych PMSM,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bezszczotkowymi</w:t>
            </w:r>
            <w:proofErr w:type="spellEnd"/>
            <w:r w:rsidRPr="00E22CDE">
              <w:rPr>
                <w:rFonts w:cstheme="minorHAnsi"/>
                <w:b/>
                <w:color w:val="000000"/>
              </w:rPr>
              <w:t xml:space="preserve"> prądu stałego BLDC oraz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reluktancyjnymi</w:t>
            </w:r>
            <w:proofErr w:type="spellEnd"/>
            <w:r w:rsidRPr="00E22CDE">
              <w:rPr>
                <w:rFonts w:cstheme="minorHAnsi"/>
                <w:b/>
                <w:color w:val="000000"/>
              </w:rPr>
              <w:t xml:space="preserve"> SRM i </w:t>
            </w:r>
            <w:proofErr w:type="spellStart"/>
            <w:r w:rsidRPr="00E22CDE">
              <w:rPr>
                <w:rFonts w:cstheme="minorHAnsi"/>
                <w:b/>
                <w:color w:val="000000"/>
              </w:rPr>
              <w:t>SynRM</w:t>
            </w:r>
            <w:proofErr w:type="spellEnd"/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Napędy elektryczne pojazdów akumulatorowych</w:t>
            </w:r>
            <w:r>
              <w:rPr>
                <w:rFonts w:cstheme="minorHAnsi"/>
                <w:i/>
                <w:color w:val="000000"/>
              </w:rPr>
              <w:t xml:space="preserve"> i trakcyjnych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Bezodstpw"/>
              <w:spacing w:line="276" w:lineRule="auto"/>
              <w:jc w:val="center"/>
            </w:pPr>
            <w:r>
              <w:t>12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7275D4">
            <w:pPr>
              <w:spacing w:after="0"/>
              <w:rPr>
                <w:rFonts w:cstheme="minorHAnsi"/>
                <w:color w:val="000000"/>
              </w:rPr>
            </w:pPr>
            <w:r w:rsidRPr="00E948C2">
              <w:rPr>
                <w:rFonts w:cstheme="minorHAnsi"/>
                <w:b/>
                <w:color w:val="000000"/>
              </w:rPr>
              <w:t xml:space="preserve">Koncepcje sterowania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bezczujnikowego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sensorless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control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), sterowania odpornego na uszkodzenia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fault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tolerant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control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 i konserwacji predykcyjnej (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predictive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E948C2">
              <w:rPr>
                <w:rFonts w:cstheme="minorHAnsi"/>
                <w:b/>
                <w:color w:val="000000"/>
              </w:rPr>
              <w:t>maintenance</w:t>
            </w:r>
            <w:proofErr w:type="spellEnd"/>
            <w:r w:rsidRPr="00E948C2">
              <w:rPr>
                <w:rFonts w:cstheme="minorHAnsi"/>
                <w:b/>
                <w:color w:val="000000"/>
              </w:rPr>
              <w:t>) stosowane w układach napędowych pojazdów elektrycznych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Napędy elektryczne pojazdów akumulatorowych</w:t>
            </w:r>
            <w:r>
              <w:rPr>
                <w:rFonts w:cstheme="minorHAnsi"/>
                <w:i/>
                <w:color w:val="000000"/>
              </w:rPr>
              <w:t xml:space="preserve"> i trakcyjnych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Default="003F386A" w:rsidP="003F386A">
            <w:pPr>
              <w:pStyle w:val="Bezodstpw"/>
              <w:spacing w:line="276" w:lineRule="auto"/>
              <w:jc w:val="center"/>
            </w:pPr>
            <w:r>
              <w:t>13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661E8" w:rsidRDefault="003F386A" w:rsidP="003F386A">
            <w:pPr>
              <w:spacing w:after="0"/>
              <w:rPr>
                <w:rFonts w:cstheme="minorHAnsi"/>
                <w:color w:val="000000"/>
                <w:u w:val="single"/>
              </w:rPr>
            </w:pPr>
            <w:r w:rsidRPr="00F4444D">
              <w:rPr>
                <w:rFonts w:cstheme="minorHAnsi"/>
                <w:b/>
                <w:color w:val="000000"/>
              </w:rPr>
              <w:t>Systematyka paliw alternatywnych do środków transportu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Paliwa alternatywne w transporcie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Pr="00AB7F04" w:rsidRDefault="003F386A" w:rsidP="003F386A">
            <w:pPr>
              <w:pStyle w:val="Bezodstpw"/>
              <w:spacing w:line="276" w:lineRule="auto"/>
              <w:jc w:val="center"/>
            </w:pPr>
            <w:r>
              <w:t>14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D661E8" w:rsidRDefault="003F386A" w:rsidP="003F386A">
            <w:pPr>
              <w:spacing w:after="0"/>
              <w:rPr>
                <w:rFonts w:cstheme="minorHAnsi"/>
                <w:color w:val="000000"/>
                <w:u w:val="single"/>
              </w:rPr>
            </w:pPr>
            <w:r w:rsidRPr="000E2A53">
              <w:rPr>
                <w:rFonts w:cstheme="minorHAnsi"/>
                <w:b/>
                <w:color w:val="000000"/>
              </w:rPr>
              <w:t>Metody recyklingu wybranych części samochodu elektrycznego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 xml:space="preserve">Recykling w </w:t>
            </w:r>
            <w:proofErr w:type="spellStart"/>
            <w:r w:rsidRPr="005559CC"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Pr="00AB7F04" w:rsidRDefault="003F386A" w:rsidP="003F386A">
            <w:pPr>
              <w:pStyle w:val="Bezodstpw"/>
              <w:spacing w:line="276" w:lineRule="auto"/>
              <w:jc w:val="center"/>
            </w:pPr>
            <w:r>
              <w:t>15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435563">
              <w:rPr>
                <w:rFonts w:cstheme="minorHAnsi"/>
                <w:b/>
                <w:color w:val="000000"/>
              </w:rPr>
              <w:t>Budowa i zasada działania części silnoprądowej oraz sterującej energoelektronicznego sterowanego źródła prądowego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Systemy energoelektroniczne</w:t>
            </w:r>
            <w:r>
              <w:rPr>
                <w:rFonts w:cstheme="minorHAnsi"/>
                <w:i/>
                <w:color w:val="000000"/>
              </w:rPr>
              <w:t xml:space="preserve">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5E761D">
        <w:tc>
          <w:tcPr>
            <w:tcW w:w="534" w:type="dxa"/>
          </w:tcPr>
          <w:p w:rsidR="003F386A" w:rsidRPr="00AB7F04" w:rsidRDefault="003F386A" w:rsidP="003F386A">
            <w:pPr>
              <w:pStyle w:val="Bezodstpw"/>
              <w:spacing w:line="276" w:lineRule="auto"/>
              <w:jc w:val="center"/>
            </w:pPr>
            <w:r>
              <w:t>16</w:t>
            </w:r>
          </w:p>
        </w:tc>
        <w:tc>
          <w:tcPr>
            <w:tcW w:w="9812" w:type="dxa"/>
            <w:gridSpan w:val="2"/>
          </w:tcPr>
          <w:p w:rsidR="003F386A" w:rsidRPr="009E7B60" w:rsidRDefault="003F386A" w:rsidP="003F386A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Cyfrowy układ sterowania energoe</w:t>
            </w:r>
            <w:r>
              <w:rPr>
                <w:rFonts w:cstheme="minorHAnsi"/>
                <w:b/>
                <w:color w:val="000000"/>
              </w:rPr>
              <w:t>lektronicznym źródłem prądowym -</w:t>
            </w:r>
            <w:r w:rsidRPr="00435563">
              <w:rPr>
                <w:rFonts w:cstheme="minorHAnsi"/>
                <w:b/>
                <w:color w:val="000000"/>
              </w:rPr>
              <w:t xml:space="preserve"> pojęcia modulatora PWM, regulatora prądu o klasycznej strukturze typu PI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Systemy energoelektroniczne</w:t>
            </w:r>
            <w:r>
              <w:rPr>
                <w:rFonts w:cstheme="minorHAnsi"/>
                <w:i/>
                <w:color w:val="000000"/>
              </w:rPr>
              <w:t xml:space="preserve"> w </w:t>
            </w:r>
            <w:proofErr w:type="spellStart"/>
            <w:r>
              <w:rPr>
                <w:rFonts w:cstheme="minorHAnsi"/>
                <w:i/>
                <w:color w:val="000000"/>
              </w:rPr>
              <w:t>elektromobilności</w:t>
            </w:r>
            <w:proofErr w:type="spellEnd"/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5E761D">
        <w:tc>
          <w:tcPr>
            <w:tcW w:w="534" w:type="dxa"/>
          </w:tcPr>
          <w:p w:rsidR="003F386A" w:rsidRPr="002945D4" w:rsidRDefault="003F386A" w:rsidP="003F386A">
            <w:pPr>
              <w:pStyle w:val="Bezodstpw"/>
              <w:spacing w:line="276" w:lineRule="auto"/>
              <w:jc w:val="center"/>
            </w:pPr>
            <w:r>
              <w:t>17</w:t>
            </w:r>
          </w:p>
        </w:tc>
        <w:tc>
          <w:tcPr>
            <w:tcW w:w="9812" w:type="dxa"/>
            <w:gridSpan w:val="2"/>
          </w:tcPr>
          <w:p w:rsidR="003F386A" w:rsidRPr="009E7B60" w:rsidRDefault="003F386A" w:rsidP="003F386A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Właściwości i parametry procesu przetwarzania analogowo-cyfrowego sygnałów oraz przetworników analogowo-cyfrowych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elektroniczne</w:t>
            </w:r>
            <w:r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5E761D">
        <w:tc>
          <w:tcPr>
            <w:tcW w:w="534" w:type="dxa"/>
          </w:tcPr>
          <w:p w:rsidR="003F386A" w:rsidRPr="00AB7F04" w:rsidRDefault="003F386A" w:rsidP="003F386A">
            <w:pPr>
              <w:pStyle w:val="Bezodstpw"/>
              <w:spacing w:line="276" w:lineRule="auto"/>
              <w:jc w:val="center"/>
            </w:pPr>
            <w:r>
              <w:t>18</w:t>
            </w:r>
          </w:p>
        </w:tc>
        <w:tc>
          <w:tcPr>
            <w:tcW w:w="9812" w:type="dxa"/>
            <w:gridSpan w:val="2"/>
          </w:tcPr>
          <w:p w:rsidR="003F386A" w:rsidRPr="009E7B60" w:rsidRDefault="003F386A" w:rsidP="003F386A">
            <w:pPr>
              <w:pStyle w:val="Bezodstpw"/>
              <w:spacing w:line="276" w:lineRule="auto"/>
              <w:rPr>
                <w:b/>
              </w:rPr>
            </w:pPr>
            <w:r w:rsidRPr="00435563">
              <w:rPr>
                <w:rFonts w:cstheme="minorHAnsi"/>
                <w:b/>
                <w:color w:val="000000"/>
              </w:rPr>
              <w:t>Właściwości i parametry układów pomiarowych prądu w niskonapięciowych sieciach DC i AC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elektroniczne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Pr="002945D4" w:rsidRDefault="003F386A" w:rsidP="003F386A">
            <w:pPr>
              <w:pStyle w:val="Bezodstpw"/>
              <w:spacing w:line="276" w:lineRule="auto"/>
              <w:jc w:val="center"/>
            </w:pPr>
            <w:r>
              <w:t>19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271355">
            <w:pPr>
              <w:spacing w:after="0"/>
              <w:rPr>
                <w:rFonts w:cstheme="minorHAnsi"/>
                <w:color w:val="000000"/>
              </w:rPr>
            </w:pPr>
            <w:r w:rsidRPr="00DF7FD4">
              <w:rPr>
                <w:rFonts w:cstheme="minorHAnsi"/>
                <w:b/>
                <w:color w:val="000000"/>
              </w:rPr>
              <w:t>Interfejs komunikacyjny CAN</w:t>
            </w:r>
            <w:r w:rsidR="00271355">
              <w:rPr>
                <w:rFonts w:cstheme="minorHAnsi"/>
                <w:b/>
                <w:color w:val="000000"/>
              </w:rPr>
              <w:t>,</w:t>
            </w:r>
            <w:r w:rsidRPr="00DF7FD4">
              <w:rPr>
                <w:rFonts w:cstheme="minorHAnsi"/>
                <w:b/>
                <w:color w:val="000000"/>
              </w:rPr>
              <w:t xml:space="preserve"> koncepcje układowe budowy węzła i</w:t>
            </w:r>
            <w:r w:rsidR="00271355">
              <w:rPr>
                <w:rFonts w:cstheme="minorHAnsi"/>
                <w:b/>
                <w:color w:val="000000"/>
              </w:rPr>
              <w:t xml:space="preserve"> model komunikacji </w:t>
            </w:r>
            <w:proofErr w:type="spellStart"/>
            <w:r w:rsidR="00271355">
              <w:rPr>
                <w:rFonts w:cstheme="minorHAnsi"/>
                <w:b/>
                <w:color w:val="000000"/>
              </w:rPr>
              <w:t>multi</w:t>
            </w:r>
            <w:proofErr w:type="spellEnd"/>
            <w:r w:rsidR="00271355">
              <w:rPr>
                <w:rFonts w:cstheme="minorHAnsi"/>
                <w:b/>
                <w:color w:val="000000"/>
              </w:rPr>
              <w:t xml:space="preserve">-master, </w:t>
            </w:r>
            <w:r w:rsidRPr="00DF7FD4">
              <w:rPr>
                <w:rFonts w:cstheme="minorHAnsi"/>
                <w:b/>
                <w:color w:val="000000"/>
              </w:rPr>
              <w:t xml:space="preserve">dostęp do medium </w:t>
            </w:r>
            <w:r>
              <w:rPr>
                <w:rFonts w:cstheme="minorHAnsi"/>
                <w:b/>
                <w:color w:val="000000"/>
              </w:rPr>
              <w:t>transmisyjnego, faza arbitrażu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Układy mikroprocesorowe w pojazdach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1D409A">
        <w:tc>
          <w:tcPr>
            <w:tcW w:w="534" w:type="dxa"/>
          </w:tcPr>
          <w:p w:rsidR="003F386A" w:rsidRPr="00AB7F04" w:rsidRDefault="003F386A" w:rsidP="003F386A">
            <w:pPr>
              <w:pStyle w:val="Bezodstpw"/>
              <w:spacing w:line="276" w:lineRule="auto"/>
              <w:jc w:val="center"/>
            </w:pPr>
            <w:r>
              <w:t>20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B74561" w:rsidRDefault="003F386A" w:rsidP="003F386A">
            <w:pPr>
              <w:spacing w:after="0"/>
              <w:rPr>
                <w:rFonts w:cstheme="minorHAnsi"/>
                <w:color w:val="000000"/>
              </w:rPr>
            </w:pPr>
            <w:r w:rsidRPr="00593804">
              <w:rPr>
                <w:rFonts w:cstheme="minorHAnsi"/>
                <w:b/>
                <w:color w:val="000000"/>
              </w:rPr>
              <w:t>Zdalna obsługa przyrządów w systemach pomiarowych</w:t>
            </w:r>
            <w:r w:rsidRPr="00894772">
              <w:rPr>
                <w:rFonts w:cstheme="minorHAnsi"/>
                <w:b/>
                <w:color w:val="000000"/>
              </w:rPr>
              <w:t xml:space="preserve"> </w:t>
            </w:r>
            <w:r w:rsidRPr="00894772">
              <w:rPr>
                <w:rFonts w:cstheme="minorHAnsi"/>
                <w:i/>
                <w:color w:val="000000"/>
              </w:rPr>
              <w:t>[</w:t>
            </w:r>
            <w:r w:rsidRPr="005559CC">
              <w:rPr>
                <w:rFonts w:cstheme="minorHAnsi"/>
                <w:i/>
                <w:color w:val="000000"/>
              </w:rPr>
              <w:t>Zdalnie sterowane systemy pomiarowe</w:t>
            </w:r>
            <w:r w:rsidRPr="00894772">
              <w:rPr>
                <w:rFonts w:cstheme="minorHAnsi"/>
                <w:i/>
                <w:color w:val="000000"/>
              </w:rPr>
              <w:t>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271355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Procedura wizualizacji wyników analizy sygnałów pomiarowych w dziedzinie częstotliwości oraz czas</w:t>
            </w:r>
            <w:r w:rsidR="00271355">
              <w:rPr>
                <w:rFonts w:cstheme="minorHAnsi"/>
                <w:b/>
                <w:bCs/>
                <w:color w:val="000000"/>
              </w:rPr>
              <w:noBreakHyphen/>
            </w:r>
            <w:r w:rsidRPr="00F843F9">
              <w:rPr>
                <w:rFonts w:cstheme="minorHAnsi"/>
                <w:b/>
                <w:bCs/>
                <w:color w:val="000000"/>
              </w:rPr>
              <w:t>częstotliwość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[Analiza i wizualizacja danych]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271355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Bezpośrednie i pośrednie metody pomiarowe układu napędowego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[Badania napędów hybrydowych i</w:t>
            </w:r>
            <w:r w:rsidR="00271355">
              <w:rPr>
                <w:rFonts w:cstheme="minorHAnsi"/>
                <w:i/>
                <w:iCs/>
                <w:color w:val="000000"/>
              </w:rPr>
              <w:t> </w:t>
            </w:r>
            <w:r w:rsidRPr="00F843F9">
              <w:rPr>
                <w:rFonts w:cstheme="minorHAnsi"/>
                <w:i/>
                <w:iCs/>
                <w:color w:val="000000"/>
              </w:rPr>
              <w:t>konwencjonalnych]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271355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Charakterystyka testów pomiarowych NEDC, WLTP, RDE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[Badania napędów hybrydowych i</w:t>
            </w:r>
            <w:r w:rsidR="00271355">
              <w:rPr>
                <w:rFonts w:cstheme="minorHAnsi"/>
                <w:i/>
                <w:iCs/>
                <w:color w:val="000000"/>
              </w:rPr>
              <w:t> </w:t>
            </w:r>
            <w:r w:rsidRPr="00F843F9">
              <w:rPr>
                <w:rFonts w:cstheme="minorHAnsi"/>
                <w:i/>
                <w:iCs/>
                <w:color w:val="000000"/>
              </w:rPr>
              <w:t>konwencjonalnych]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Charakterystyka ogniw paliwowych stosowanych w układach napędowych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[Hybrydyzacja ogniw paliwowych]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Typowe warunki pracy ogniwa paliwowego w hybrydowym układzie napędowym z akumulatorem trakcyjnym</w:t>
            </w:r>
            <w:r w:rsidRPr="00F843F9">
              <w:rPr>
                <w:rFonts w:cstheme="minorHAnsi"/>
                <w:color w:val="000000"/>
              </w:rPr>
              <w:t xml:space="preserve">  </w:t>
            </w:r>
            <w:r w:rsidRPr="00F843F9">
              <w:rPr>
                <w:rFonts w:cstheme="minorHAnsi"/>
                <w:i/>
                <w:iCs/>
                <w:color w:val="000000"/>
              </w:rPr>
              <w:t>[Hybrydyzacja ogniw paliwowych]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Metody modelowania ogniw elektrochemicznych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[Modelowanie elektrochemicznych magazynów energii elektrycznej]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 xml:space="preserve">Schemat zastępczy ogniwa elektrochemicznego i metody identyfikacji </w:t>
            </w:r>
            <w:r w:rsidR="00223973">
              <w:rPr>
                <w:rFonts w:cstheme="minorHAnsi"/>
                <w:b/>
                <w:bCs/>
                <w:color w:val="000000"/>
              </w:rPr>
              <w:t xml:space="preserve">parametrów </w:t>
            </w:r>
            <w:bookmarkStart w:id="0" w:name="_GoBack"/>
            <w:bookmarkEnd w:id="0"/>
            <w:r w:rsidRPr="00F843F9">
              <w:rPr>
                <w:rFonts w:cstheme="minorHAnsi"/>
                <w:b/>
                <w:bCs/>
                <w:color w:val="000000"/>
              </w:rPr>
              <w:t>modelu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[Modelowanie elektrochemicznych magazynów energii elektrycznej]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Metody modelowania napędów hybrydowych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[Modelowanie napędów hybrydowych i wodorowych]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271355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Modele napędów hybrydowych oraz zasilanych wodorem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[Modelowanie napędów hybrydowych i</w:t>
            </w:r>
            <w:r w:rsidR="00271355">
              <w:rPr>
                <w:rFonts w:cstheme="minorHAnsi"/>
                <w:i/>
                <w:iCs/>
                <w:color w:val="000000"/>
              </w:rPr>
              <w:t> </w:t>
            </w:r>
            <w:r w:rsidRPr="00F843F9">
              <w:rPr>
                <w:rFonts w:cstheme="minorHAnsi"/>
                <w:i/>
                <w:iCs/>
                <w:color w:val="000000"/>
              </w:rPr>
              <w:t>wodorowych]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12" w:type="dxa"/>
            <w:gridSpan w:val="2"/>
          </w:tcPr>
          <w:p w:rsidR="003F386A" w:rsidRPr="00F843F9" w:rsidRDefault="0077664E" w:rsidP="003F386A">
            <w:pPr>
              <w:spacing w:after="0"/>
              <w:rPr>
                <w:rFonts w:cstheme="minorHAnsi"/>
              </w:rPr>
            </w:pPr>
            <w:r w:rsidRPr="0055499E">
              <w:rPr>
                <w:rFonts w:cstheme="minorHAnsi"/>
                <w:b/>
                <w:bCs/>
                <w:color w:val="000000"/>
              </w:rPr>
              <w:t xml:space="preserve">Mechanizmy zagrożeń bezpieczeństwa biernego pasażerów i systemy mechaniczne i </w:t>
            </w:r>
            <w:proofErr w:type="spellStart"/>
            <w:r w:rsidRPr="0055499E">
              <w:rPr>
                <w:rFonts w:cstheme="minorHAnsi"/>
                <w:b/>
                <w:bCs/>
                <w:color w:val="000000"/>
              </w:rPr>
              <w:t>mechatroniczne</w:t>
            </w:r>
            <w:proofErr w:type="spellEnd"/>
            <w:r w:rsidRPr="0055499E">
              <w:rPr>
                <w:rFonts w:cstheme="minorHAnsi"/>
                <w:b/>
                <w:bCs/>
                <w:color w:val="000000"/>
              </w:rPr>
              <w:t xml:space="preserve"> podnoszące bezpieczeństwo bierne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[Systemy bezpieczeństwa w pojazdach]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  <w:iCs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Systemy aktywne wspomagania stateczności kierunkowej pojazdu oraz utrzymania pasa ruchu</w:t>
            </w:r>
            <w:r w:rsidRPr="00F843F9">
              <w:rPr>
                <w:rFonts w:cstheme="minorHAnsi"/>
                <w:color w:val="000000"/>
              </w:rPr>
              <w:t xml:space="preserve">  </w:t>
            </w:r>
            <w:r w:rsidRPr="00F843F9">
              <w:rPr>
                <w:rFonts w:cstheme="minorHAnsi"/>
                <w:i/>
                <w:iCs/>
                <w:color w:val="000000"/>
              </w:rPr>
              <w:t>[Systemy bezpieczeństwa w pojazdach]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</w:t>
            </w:r>
            <w:r w:rsidRPr="00F843F9">
              <w:rPr>
                <w:rFonts w:cstheme="minorHAnsi"/>
                <w:b/>
                <w:bCs/>
                <w:color w:val="000000"/>
              </w:rPr>
              <w:t>lementy certyfikowane dla układów wykorzystujących zbiorniki ciśnieniowe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[Certyfikacja układów wodorowych]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B</w:t>
            </w:r>
            <w:r w:rsidRPr="00F843F9">
              <w:rPr>
                <w:rFonts w:cstheme="minorHAnsi"/>
                <w:b/>
                <w:bCs/>
                <w:color w:val="000000"/>
              </w:rPr>
              <w:t>adania wykon</w:t>
            </w:r>
            <w:r>
              <w:rPr>
                <w:rFonts w:cstheme="minorHAnsi"/>
                <w:b/>
                <w:bCs/>
                <w:color w:val="000000"/>
              </w:rPr>
              <w:t>ywane</w:t>
            </w:r>
            <w:r w:rsidRPr="00F843F9">
              <w:rPr>
                <w:rFonts w:cstheme="minorHAnsi"/>
                <w:b/>
                <w:bCs/>
                <w:color w:val="000000"/>
              </w:rPr>
              <w:t xml:space="preserve"> podczas homologacji pojazdu wodorowego w zakresie jego układu zasilania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[Certyfikacja układów wodorowych]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Odziaływanie lokalnych źródeł i magazynów energii na jakość energii elektrycznej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[Inteligentne sieci rozdzielcze]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  <w:shd w:val="clear" w:color="auto" w:fill="FFFFFF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Zasada działania automatyki VRT oraz jej znaczenie dla pracy systemu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>[Inteligentne sieci rozdzielcze]</w:t>
            </w:r>
          </w:p>
        </w:tc>
      </w:tr>
      <w:tr w:rsidR="003F386A" w:rsidTr="005E761D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  <w:shd w:val="clear" w:color="auto" w:fill="FFFFFF"/>
              </w:rPr>
            </w:pPr>
            <w:r w:rsidRPr="00EA774A">
              <w:rPr>
                <w:rFonts w:cstheme="minorHAnsi"/>
                <w:b/>
                <w:bCs/>
                <w:color w:val="000000"/>
              </w:rPr>
              <w:t xml:space="preserve">Charakterystyka nowoczesnych ogniw fotowoltaicznych </w:t>
            </w:r>
            <w:r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Pr="00EA774A">
              <w:rPr>
                <w:rFonts w:cstheme="minorHAnsi"/>
                <w:b/>
                <w:bCs/>
                <w:color w:val="000000"/>
              </w:rPr>
              <w:t>HJT, half-</w:t>
            </w:r>
            <w:proofErr w:type="spellStart"/>
            <w:r w:rsidRPr="00EA774A">
              <w:rPr>
                <w:rFonts w:cstheme="minorHAnsi"/>
                <w:b/>
                <w:bCs/>
                <w:color w:val="000000"/>
              </w:rPr>
              <w:t>cell</w:t>
            </w:r>
            <w:proofErr w:type="spellEnd"/>
            <w:r w:rsidRPr="00EA774A">
              <w:rPr>
                <w:rFonts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EA774A">
              <w:rPr>
                <w:rFonts w:cstheme="minorHAnsi"/>
                <w:b/>
                <w:bCs/>
                <w:color w:val="000000"/>
              </w:rPr>
              <w:t>bifacial</w:t>
            </w:r>
            <w:proofErr w:type="spellEnd"/>
            <w:r w:rsidRPr="00F843F9">
              <w:rPr>
                <w:rFonts w:cstheme="minorHAnsi"/>
                <w:color w:val="000000"/>
              </w:rPr>
              <w:t xml:space="preserve"> </w:t>
            </w:r>
            <w:r w:rsidRPr="00EA774A">
              <w:rPr>
                <w:rFonts w:cstheme="minorHAnsi"/>
                <w:i/>
                <w:iCs/>
                <w:color w:val="000000"/>
              </w:rPr>
              <w:t>[Niekonwencjonalne źródła energii]</w:t>
            </w:r>
          </w:p>
        </w:tc>
      </w:tr>
      <w:tr w:rsidR="003F386A" w:rsidTr="005E761D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3F386A">
            <w:pPr>
              <w:spacing w:after="0"/>
              <w:rPr>
                <w:rFonts w:cstheme="minorHAnsi"/>
                <w:shd w:val="clear" w:color="auto" w:fill="FFFFFF"/>
              </w:rPr>
            </w:pPr>
            <w:r w:rsidRPr="00EA774A">
              <w:rPr>
                <w:rFonts w:cstheme="minorHAnsi"/>
                <w:b/>
                <w:bCs/>
                <w:color w:val="000000"/>
              </w:rPr>
              <w:t>Szacowanie uzysku energetycznego instalacji fotowoltaicznych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EA774A">
              <w:rPr>
                <w:rFonts w:cstheme="minorHAnsi"/>
                <w:b/>
                <w:bCs/>
                <w:color w:val="000000"/>
              </w:rPr>
              <w:t xml:space="preserve"> turbin wiatrowych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EA774A">
              <w:rPr>
                <w:rFonts w:cstheme="minorHAnsi"/>
                <w:i/>
                <w:iCs/>
                <w:color w:val="000000"/>
              </w:rPr>
              <w:t>[Niekonwencjonalne źródła energii]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12" w:type="dxa"/>
            <w:gridSpan w:val="2"/>
            <w:vAlign w:val="bottom"/>
          </w:tcPr>
          <w:p w:rsidR="003F386A" w:rsidRPr="00F843F9" w:rsidRDefault="003F386A" w:rsidP="003F386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A774A">
              <w:rPr>
                <w:rFonts w:cstheme="minorHAnsi"/>
                <w:b/>
                <w:bCs/>
                <w:color w:val="000000"/>
              </w:rPr>
              <w:t>Układy wentylacji, ogrzewania i klimatyzacji pojazdów elektrycznych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EA774A">
              <w:rPr>
                <w:rFonts w:cstheme="minorHAnsi"/>
                <w:i/>
                <w:iCs/>
                <w:color w:val="000000"/>
              </w:rPr>
              <w:t xml:space="preserve">[Układy </w:t>
            </w:r>
            <w:proofErr w:type="spellStart"/>
            <w:r w:rsidRPr="00EA774A">
              <w:rPr>
                <w:rFonts w:cstheme="minorHAnsi"/>
                <w:i/>
                <w:iCs/>
                <w:color w:val="000000"/>
              </w:rPr>
              <w:t>pozanapędowe</w:t>
            </w:r>
            <w:proofErr w:type="spellEnd"/>
            <w:r w:rsidRPr="00EA774A">
              <w:rPr>
                <w:rFonts w:cstheme="minorHAnsi"/>
                <w:i/>
                <w:iCs/>
                <w:color w:val="000000"/>
              </w:rPr>
              <w:t xml:space="preserve"> samochodów elektrycznych]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812" w:type="dxa"/>
            <w:gridSpan w:val="2"/>
          </w:tcPr>
          <w:p w:rsidR="003F386A" w:rsidRPr="00F843F9" w:rsidRDefault="003F386A" w:rsidP="00271355">
            <w:pPr>
              <w:spacing w:after="0"/>
              <w:rPr>
                <w:rFonts w:cstheme="minorHAnsi"/>
              </w:rPr>
            </w:pPr>
            <w:r w:rsidRPr="00F843F9">
              <w:rPr>
                <w:rFonts w:cstheme="minorHAnsi"/>
                <w:b/>
                <w:bCs/>
                <w:color w:val="000000"/>
              </w:rPr>
              <w:t>Dostępne technologie konwencjonalnych źródeł energii, schemat wybranego układu</w:t>
            </w:r>
            <w:r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Pr="00F843F9">
              <w:rPr>
                <w:rFonts w:cstheme="minorHAnsi"/>
                <w:b/>
                <w:bCs/>
                <w:color w:val="000000"/>
              </w:rPr>
              <w:t xml:space="preserve">elementy układu </w:t>
            </w:r>
            <w:r>
              <w:rPr>
                <w:rFonts w:cstheme="minorHAnsi"/>
                <w:b/>
                <w:bCs/>
                <w:color w:val="000000"/>
              </w:rPr>
              <w:t>i</w:t>
            </w:r>
            <w:r w:rsidR="00271355">
              <w:rPr>
                <w:rFonts w:cstheme="minorHAnsi"/>
                <w:b/>
                <w:bCs/>
                <w:color w:val="000000"/>
              </w:rPr>
              <w:t> </w:t>
            </w:r>
            <w:r w:rsidRPr="00F843F9">
              <w:rPr>
                <w:rFonts w:cstheme="minorHAnsi"/>
                <w:b/>
                <w:bCs/>
                <w:color w:val="000000"/>
              </w:rPr>
              <w:t>jego zasad</w:t>
            </w:r>
            <w:r>
              <w:rPr>
                <w:rFonts w:cstheme="minorHAnsi"/>
                <w:b/>
                <w:bCs/>
                <w:color w:val="000000"/>
              </w:rPr>
              <w:t>a</w:t>
            </w:r>
            <w:r w:rsidRPr="00F843F9">
              <w:rPr>
                <w:rFonts w:cstheme="minorHAnsi"/>
                <w:b/>
                <w:bCs/>
                <w:color w:val="000000"/>
              </w:rPr>
              <w:t xml:space="preserve"> działania, rola w systemie elektroenergetycznym</w:t>
            </w:r>
            <w:r w:rsidRPr="00F843F9">
              <w:rPr>
                <w:rFonts w:cstheme="minorHAnsi"/>
                <w:color w:val="000000"/>
              </w:rPr>
              <w:t xml:space="preserve"> </w:t>
            </w:r>
            <w:r w:rsidRPr="00F843F9">
              <w:rPr>
                <w:rFonts w:cstheme="minorHAnsi"/>
                <w:i/>
                <w:iCs/>
                <w:color w:val="000000"/>
              </w:rPr>
              <w:t xml:space="preserve">[Wytwarzanie i </w:t>
            </w:r>
            <w:proofErr w:type="spellStart"/>
            <w:r w:rsidRPr="00F843F9">
              <w:rPr>
                <w:rFonts w:cstheme="minorHAnsi"/>
                <w:i/>
                <w:iCs/>
                <w:color w:val="000000"/>
              </w:rPr>
              <w:t>przesył</w:t>
            </w:r>
            <w:proofErr w:type="spellEnd"/>
            <w:r w:rsidRPr="00F843F9">
              <w:rPr>
                <w:rFonts w:cstheme="minorHAnsi"/>
                <w:i/>
                <w:iCs/>
                <w:color w:val="000000"/>
              </w:rPr>
              <w:t xml:space="preserve"> energii elektrycznej]</w:t>
            </w:r>
          </w:p>
        </w:tc>
      </w:tr>
      <w:tr w:rsidR="003F386A" w:rsidTr="008562A7">
        <w:tc>
          <w:tcPr>
            <w:tcW w:w="534" w:type="dxa"/>
          </w:tcPr>
          <w:p w:rsidR="003F386A" w:rsidRDefault="003F386A" w:rsidP="003F38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812" w:type="dxa"/>
            <w:gridSpan w:val="2"/>
          </w:tcPr>
          <w:p w:rsidR="003F386A" w:rsidRPr="00F843F9" w:rsidRDefault="0077664E" w:rsidP="0077664E">
            <w:pPr>
              <w:spacing w:after="0"/>
              <w:rPr>
                <w:rFonts w:cstheme="minorHAnsi"/>
              </w:rPr>
            </w:pPr>
            <w:r w:rsidRPr="0077664E">
              <w:rPr>
                <w:rFonts w:cstheme="minorHAnsi"/>
                <w:b/>
                <w:bCs/>
                <w:color w:val="000000"/>
              </w:rPr>
              <w:t xml:space="preserve">Najczęściej spotykane układy sieci dystrybucyjnych </w:t>
            </w:r>
            <w:r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Pr="0077664E">
              <w:rPr>
                <w:rFonts w:cstheme="minorHAnsi"/>
                <w:b/>
                <w:bCs/>
                <w:color w:val="000000"/>
              </w:rPr>
              <w:t>rodzaj</w:t>
            </w:r>
            <w:r>
              <w:rPr>
                <w:rFonts w:cstheme="minorHAnsi"/>
                <w:b/>
                <w:bCs/>
                <w:color w:val="000000"/>
              </w:rPr>
              <w:t>e,</w:t>
            </w:r>
            <w:r w:rsidRPr="0077664E">
              <w:rPr>
                <w:rFonts w:cstheme="minorHAnsi"/>
                <w:b/>
                <w:bCs/>
                <w:color w:val="000000"/>
              </w:rPr>
              <w:t xml:space="preserve"> cechy</w:t>
            </w:r>
            <w:r w:rsidR="003F386A" w:rsidRPr="00F843F9">
              <w:rPr>
                <w:rFonts w:cstheme="minorHAnsi"/>
                <w:color w:val="000000"/>
              </w:rPr>
              <w:t xml:space="preserve"> </w:t>
            </w:r>
            <w:r w:rsidR="003F386A" w:rsidRPr="00F843F9">
              <w:rPr>
                <w:rFonts w:cstheme="minorHAnsi"/>
                <w:i/>
                <w:iCs/>
                <w:color w:val="000000"/>
              </w:rPr>
              <w:t xml:space="preserve">[Wytwarzanie i </w:t>
            </w:r>
            <w:proofErr w:type="spellStart"/>
            <w:r w:rsidR="003F386A" w:rsidRPr="00F843F9">
              <w:rPr>
                <w:rFonts w:cstheme="minorHAnsi"/>
                <w:i/>
                <w:iCs/>
                <w:color w:val="000000"/>
              </w:rPr>
              <w:t>przesył</w:t>
            </w:r>
            <w:proofErr w:type="spellEnd"/>
            <w:r w:rsidR="003F386A" w:rsidRPr="00F843F9">
              <w:rPr>
                <w:rFonts w:cstheme="minorHAnsi"/>
                <w:i/>
                <w:iCs/>
                <w:color w:val="000000"/>
              </w:rPr>
              <w:t xml:space="preserve"> energii elektrycznej]</w:t>
            </w:r>
          </w:p>
        </w:tc>
      </w:tr>
    </w:tbl>
    <w:p w:rsidR="0078258F" w:rsidRDefault="0078258F" w:rsidP="009575B0">
      <w:pPr>
        <w:spacing w:after="0" w:line="240" w:lineRule="auto"/>
      </w:pPr>
    </w:p>
    <w:sectPr w:rsidR="0078258F" w:rsidSect="00B43775">
      <w:headerReference w:type="default" r:id="rId7"/>
      <w:pgSz w:w="11906" w:h="16838"/>
      <w:pgMar w:top="851" w:right="849" w:bottom="1418" w:left="851" w:header="3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8E" w:rsidRDefault="00AC2D8E">
      <w:pPr>
        <w:spacing w:after="0" w:line="240" w:lineRule="auto"/>
      </w:pPr>
      <w:r>
        <w:separator/>
      </w:r>
    </w:p>
  </w:endnote>
  <w:endnote w:type="continuationSeparator" w:id="0">
    <w:p w:rsidR="00AC2D8E" w:rsidRDefault="00AC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8E" w:rsidRDefault="00AC2D8E">
      <w:pPr>
        <w:spacing w:after="0" w:line="240" w:lineRule="auto"/>
      </w:pPr>
      <w:r>
        <w:separator/>
      </w:r>
    </w:p>
  </w:footnote>
  <w:footnote w:type="continuationSeparator" w:id="0">
    <w:p w:rsidR="00AC2D8E" w:rsidRDefault="00AC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8F" w:rsidRPr="000A6EFB" w:rsidRDefault="000A6EFB" w:rsidP="000A6EFB">
    <w:pPr>
      <w:pStyle w:val="Nagwek"/>
      <w:pBdr>
        <w:bottom w:val="single" w:sz="4" w:space="1" w:color="00000A"/>
      </w:pBdr>
      <w:jc w:val="center"/>
      <w:rPr>
        <w:sz w:val="18"/>
      </w:rPr>
    </w:pPr>
    <w:r w:rsidRPr="008B7CD3">
      <w:rPr>
        <w:rFonts w:ascii="Arial" w:hAnsi="Arial" w:cs="Arial"/>
        <w:sz w:val="18"/>
      </w:rPr>
      <w:t>Politechnika Poznańska</w:t>
    </w:r>
    <w:r>
      <w:rPr>
        <w:rFonts w:ascii="Arial" w:hAnsi="Arial" w:cs="Arial"/>
        <w:sz w:val="18"/>
      </w:rPr>
      <w:t>,</w:t>
    </w:r>
    <w:r w:rsidRPr="008B7CD3">
      <w:rPr>
        <w:rFonts w:ascii="Arial" w:hAnsi="Arial" w:cs="Arial"/>
        <w:sz w:val="18"/>
      </w:rPr>
      <w:t xml:space="preserve"> Wydział </w:t>
    </w:r>
    <w:r>
      <w:rPr>
        <w:rFonts w:ascii="Arial" w:hAnsi="Arial" w:cs="Arial"/>
        <w:sz w:val="18"/>
      </w:rPr>
      <w:t>Automatyki, Robotyki i Elektrotechniki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B"/>
    <w:multiLevelType w:val="multilevel"/>
    <w:tmpl w:val="7DF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67D"/>
    <w:multiLevelType w:val="multilevel"/>
    <w:tmpl w:val="DCDA4D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8F"/>
    <w:rsid w:val="00035C30"/>
    <w:rsid w:val="00057B85"/>
    <w:rsid w:val="0007336F"/>
    <w:rsid w:val="000A436C"/>
    <w:rsid w:val="000A6EFB"/>
    <w:rsid w:val="000B56B4"/>
    <w:rsid w:val="001153FF"/>
    <w:rsid w:val="00131231"/>
    <w:rsid w:val="00152108"/>
    <w:rsid w:val="001930A1"/>
    <w:rsid w:val="001B7AB5"/>
    <w:rsid w:val="001E21FB"/>
    <w:rsid w:val="001F51A5"/>
    <w:rsid w:val="001F7026"/>
    <w:rsid w:val="00214E43"/>
    <w:rsid w:val="00223973"/>
    <w:rsid w:val="00247A37"/>
    <w:rsid w:val="00251452"/>
    <w:rsid w:val="00260E54"/>
    <w:rsid w:val="0026191E"/>
    <w:rsid w:val="00263161"/>
    <w:rsid w:val="00270BF8"/>
    <w:rsid w:val="00271355"/>
    <w:rsid w:val="00276E29"/>
    <w:rsid w:val="002945D4"/>
    <w:rsid w:val="002C2DA2"/>
    <w:rsid w:val="002C3FFD"/>
    <w:rsid w:val="002E18C5"/>
    <w:rsid w:val="00301A21"/>
    <w:rsid w:val="003209D4"/>
    <w:rsid w:val="0036310B"/>
    <w:rsid w:val="003636AC"/>
    <w:rsid w:val="00390FE4"/>
    <w:rsid w:val="003C28D5"/>
    <w:rsid w:val="003D0095"/>
    <w:rsid w:val="003F386A"/>
    <w:rsid w:val="0040250A"/>
    <w:rsid w:val="00430FA2"/>
    <w:rsid w:val="0043205E"/>
    <w:rsid w:val="00440E87"/>
    <w:rsid w:val="00441E1A"/>
    <w:rsid w:val="00457BF9"/>
    <w:rsid w:val="004B463A"/>
    <w:rsid w:val="004D78CF"/>
    <w:rsid w:val="004F4FC5"/>
    <w:rsid w:val="004F6AE4"/>
    <w:rsid w:val="00500D50"/>
    <w:rsid w:val="00502FC9"/>
    <w:rsid w:val="00521CBE"/>
    <w:rsid w:val="005420EE"/>
    <w:rsid w:val="00561FAA"/>
    <w:rsid w:val="00585A9D"/>
    <w:rsid w:val="005B7198"/>
    <w:rsid w:val="005D3F15"/>
    <w:rsid w:val="005F7205"/>
    <w:rsid w:val="0063706F"/>
    <w:rsid w:val="00642833"/>
    <w:rsid w:val="00642F8F"/>
    <w:rsid w:val="00660A32"/>
    <w:rsid w:val="006711D7"/>
    <w:rsid w:val="006E1B1B"/>
    <w:rsid w:val="006F38D0"/>
    <w:rsid w:val="007003CB"/>
    <w:rsid w:val="0070440F"/>
    <w:rsid w:val="007251B4"/>
    <w:rsid w:val="007275D4"/>
    <w:rsid w:val="00765C1A"/>
    <w:rsid w:val="00771EB2"/>
    <w:rsid w:val="0077664E"/>
    <w:rsid w:val="0078258F"/>
    <w:rsid w:val="007A1F09"/>
    <w:rsid w:val="007C5B3F"/>
    <w:rsid w:val="007F1D2C"/>
    <w:rsid w:val="008139C8"/>
    <w:rsid w:val="008157B2"/>
    <w:rsid w:val="00822D10"/>
    <w:rsid w:val="008256F4"/>
    <w:rsid w:val="0083222C"/>
    <w:rsid w:val="00840088"/>
    <w:rsid w:val="00866722"/>
    <w:rsid w:val="00894772"/>
    <w:rsid w:val="008B6BE9"/>
    <w:rsid w:val="008C4C22"/>
    <w:rsid w:val="008D6A7B"/>
    <w:rsid w:val="008E6372"/>
    <w:rsid w:val="008F5203"/>
    <w:rsid w:val="00916F9D"/>
    <w:rsid w:val="00917A54"/>
    <w:rsid w:val="009419F4"/>
    <w:rsid w:val="009575B0"/>
    <w:rsid w:val="00960C90"/>
    <w:rsid w:val="00987433"/>
    <w:rsid w:val="009E39DD"/>
    <w:rsid w:val="009E7B60"/>
    <w:rsid w:val="00A051F4"/>
    <w:rsid w:val="00A1369B"/>
    <w:rsid w:val="00A15C7F"/>
    <w:rsid w:val="00A512FE"/>
    <w:rsid w:val="00A57AA8"/>
    <w:rsid w:val="00AB3D10"/>
    <w:rsid w:val="00AB66F7"/>
    <w:rsid w:val="00AB7F04"/>
    <w:rsid w:val="00AC2D8E"/>
    <w:rsid w:val="00AD2BC5"/>
    <w:rsid w:val="00AE5D4D"/>
    <w:rsid w:val="00B063B1"/>
    <w:rsid w:val="00B43775"/>
    <w:rsid w:val="00B45FBB"/>
    <w:rsid w:val="00B5534B"/>
    <w:rsid w:val="00B6106C"/>
    <w:rsid w:val="00BA38DE"/>
    <w:rsid w:val="00BA43A4"/>
    <w:rsid w:val="00BB0406"/>
    <w:rsid w:val="00BE37A4"/>
    <w:rsid w:val="00C02524"/>
    <w:rsid w:val="00C07B3D"/>
    <w:rsid w:val="00C108CC"/>
    <w:rsid w:val="00C26218"/>
    <w:rsid w:val="00C54608"/>
    <w:rsid w:val="00C56778"/>
    <w:rsid w:val="00C72B0E"/>
    <w:rsid w:val="00C763C4"/>
    <w:rsid w:val="00CA4F20"/>
    <w:rsid w:val="00CA5C69"/>
    <w:rsid w:val="00CB4B7E"/>
    <w:rsid w:val="00CE1C98"/>
    <w:rsid w:val="00CE4F0D"/>
    <w:rsid w:val="00CF734F"/>
    <w:rsid w:val="00D0695C"/>
    <w:rsid w:val="00D07E0C"/>
    <w:rsid w:val="00D30E1E"/>
    <w:rsid w:val="00D773B5"/>
    <w:rsid w:val="00DA02A3"/>
    <w:rsid w:val="00DD15A4"/>
    <w:rsid w:val="00E05A0E"/>
    <w:rsid w:val="00E253B4"/>
    <w:rsid w:val="00E33784"/>
    <w:rsid w:val="00E54269"/>
    <w:rsid w:val="00E54A5B"/>
    <w:rsid w:val="00E57597"/>
    <w:rsid w:val="00E71DAF"/>
    <w:rsid w:val="00E75593"/>
    <w:rsid w:val="00E77F9A"/>
    <w:rsid w:val="00E91CE2"/>
    <w:rsid w:val="00EA7208"/>
    <w:rsid w:val="00EA79E0"/>
    <w:rsid w:val="00EE4F13"/>
    <w:rsid w:val="00EF5B8E"/>
    <w:rsid w:val="00F05A55"/>
    <w:rsid w:val="00F45927"/>
    <w:rsid w:val="00F74C82"/>
    <w:rsid w:val="00F76F13"/>
    <w:rsid w:val="00FC79E9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5B7D"/>
  <w15:docId w15:val="{D575B02D-83D0-4361-A109-C14B6040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0D"/>
  </w:style>
  <w:style w:type="character" w:customStyle="1" w:styleId="StopkaZnak">
    <w:name w:val="Stopka Znak"/>
    <w:basedOn w:val="Domylnaczcionkaakapitu"/>
    <w:link w:val="Stopka"/>
    <w:uiPriority w:val="99"/>
    <w:qFormat/>
    <w:rsid w:val="00BC300D"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90FE4"/>
    <w:pPr>
      <w:spacing w:after="140" w:line="288" w:lineRule="auto"/>
    </w:pPr>
  </w:style>
  <w:style w:type="paragraph" w:styleId="Lista">
    <w:name w:val="List"/>
    <w:basedOn w:val="Tekstpodstawowy"/>
    <w:rsid w:val="00390FE4"/>
    <w:rPr>
      <w:rFonts w:cs="Arial"/>
    </w:rPr>
  </w:style>
  <w:style w:type="paragraph" w:styleId="Legenda">
    <w:name w:val="caption"/>
    <w:basedOn w:val="Normalny"/>
    <w:qFormat/>
    <w:rsid w:val="00390F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0FE4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300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390FE4"/>
    <w:pPr>
      <w:spacing w:after="160"/>
      <w:ind w:left="720"/>
      <w:contextualSpacing/>
    </w:pPr>
  </w:style>
  <w:style w:type="table" w:styleId="Tabela-Siatka">
    <w:name w:val="Table Grid"/>
    <w:basedOn w:val="Standardowy"/>
    <w:uiPriority w:val="59"/>
    <w:rsid w:val="00BC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F04"/>
  </w:style>
  <w:style w:type="paragraph" w:styleId="NormalnyWeb">
    <w:name w:val="Normal (Web)"/>
    <w:basedOn w:val="Normalny"/>
    <w:unhideWhenUsed/>
    <w:rsid w:val="00E77F9A"/>
    <w:pPr>
      <w:spacing w:before="100" w:after="10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object">
    <w:name w:val="object"/>
    <w:basedOn w:val="Domylnaczcionkaakapitu"/>
    <w:uiPriority w:val="99"/>
    <w:rsid w:val="005D3F15"/>
  </w:style>
  <w:style w:type="paragraph" w:customStyle="1" w:styleId="Normalny1">
    <w:name w:val="Normalny1"/>
    <w:rsid w:val="001B7AB5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Bilski</dc:creator>
  <dc:description/>
  <cp:lastModifiedBy>Łukasz Putz</cp:lastModifiedBy>
  <cp:revision>98</cp:revision>
  <dcterms:created xsi:type="dcterms:W3CDTF">2017-11-30T21:29:00Z</dcterms:created>
  <dcterms:modified xsi:type="dcterms:W3CDTF">2025-01-16T14:03:00Z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